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A0DC3" w:rsidTr="00CA0DC3">
        <w:tc>
          <w:tcPr>
            <w:tcW w:w="6974" w:type="dxa"/>
          </w:tcPr>
          <w:p w:rsidR="00CA0DC3" w:rsidRDefault="00CA0DC3" w:rsidP="00CA0DC3">
            <w:r>
              <w:t>Key achievements to date</w:t>
            </w:r>
          </w:p>
        </w:tc>
        <w:tc>
          <w:tcPr>
            <w:tcW w:w="6974" w:type="dxa"/>
          </w:tcPr>
          <w:p w:rsidR="00CA0DC3" w:rsidRDefault="00CA0DC3" w:rsidP="00CA0DC3">
            <w:r>
              <w:t>Areas for further improvement and development</w:t>
            </w:r>
          </w:p>
        </w:tc>
      </w:tr>
      <w:tr w:rsidR="00CA0DC3" w:rsidTr="00CA0DC3">
        <w:tc>
          <w:tcPr>
            <w:tcW w:w="6974" w:type="dxa"/>
          </w:tcPr>
          <w:p w:rsidR="00CA0DC3" w:rsidRDefault="00CA0DC3" w:rsidP="00CA0DC3"/>
        </w:tc>
        <w:tc>
          <w:tcPr>
            <w:tcW w:w="6974" w:type="dxa"/>
          </w:tcPr>
          <w:p w:rsidR="00CA0DC3" w:rsidRDefault="00CA0DC3" w:rsidP="00CA0DC3"/>
        </w:tc>
      </w:tr>
      <w:tr w:rsidR="00CA0DC3" w:rsidTr="00CA0DC3">
        <w:tc>
          <w:tcPr>
            <w:tcW w:w="6974" w:type="dxa"/>
          </w:tcPr>
          <w:p w:rsidR="00CA0DC3" w:rsidRDefault="00CA0DC3" w:rsidP="00CA0DC3">
            <w:pPr>
              <w:pStyle w:val="ListParagraph"/>
              <w:numPr>
                <w:ilvl w:val="0"/>
                <w:numId w:val="1"/>
              </w:numPr>
            </w:pPr>
            <w:r>
              <w:t xml:space="preserve">New play equipment that the children use frequently at break and lunchtime, improving activity levels and improving different skills such as climbing and balance. </w:t>
            </w:r>
          </w:p>
          <w:p w:rsidR="00CA0DC3" w:rsidRDefault="00CA0DC3" w:rsidP="00CA0DC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take part in many sporting activities over a school year, encouraging increased participation but also in a variety of sports. Children understand the importance of good sportsmanship. </w:t>
            </w:r>
          </w:p>
          <w:p w:rsidR="00CA0DC3" w:rsidRDefault="00CA0DC3" w:rsidP="00CA0DC3">
            <w:pPr>
              <w:pStyle w:val="ListParagraph"/>
              <w:numPr>
                <w:ilvl w:val="0"/>
                <w:numId w:val="1"/>
              </w:numPr>
            </w:pPr>
            <w:r>
              <w:t xml:space="preserve">Yoga in school has started well and is having an impact on behaviour and concentration levels. </w:t>
            </w:r>
          </w:p>
          <w:p w:rsidR="00CA0DC3" w:rsidRDefault="00CA0DC3" w:rsidP="00CA0DC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take part in swimming lessons. </w:t>
            </w:r>
          </w:p>
          <w:p w:rsidR="00CA0DC3" w:rsidRDefault="00CA0DC3" w:rsidP="00CA0DC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take part in many competitive sporting activities inside and outside of school. </w:t>
            </w:r>
          </w:p>
        </w:tc>
        <w:tc>
          <w:tcPr>
            <w:tcW w:w="6974" w:type="dxa"/>
          </w:tcPr>
          <w:p w:rsidR="00CA0DC3" w:rsidRPr="003F6861" w:rsidRDefault="00CA0DC3" w:rsidP="00CA0DC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</w:t>
            </w:r>
            <w:r w:rsidRPr="003F6861">
              <w:rPr>
                <w:rFonts w:asciiTheme="minorHAnsi" w:hAnsiTheme="minorHAnsi"/>
              </w:rPr>
              <w:t>self-esteem and confidence through outdoor learning</w:t>
            </w:r>
            <w:r>
              <w:rPr>
                <w:rFonts w:asciiTheme="minorHAnsi" w:hAnsiTheme="minorHAnsi"/>
              </w:rPr>
              <w:t xml:space="preserve"> and residential opportunities. </w:t>
            </w:r>
          </w:p>
          <w:p w:rsidR="00CA0DC3" w:rsidRPr="003F6861" w:rsidRDefault="00CA0DC3" w:rsidP="00CA0DC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6861">
              <w:rPr>
                <w:rFonts w:asciiTheme="minorHAnsi" w:hAnsiTheme="minorHAnsi"/>
              </w:rPr>
              <w:t>Develop a balanced and comprehensive programme to healthy living which focuses on regular exercise for all children as well as a healthy diet</w:t>
            </w:r>
          </w:p>
          <w:p w:rsidR="00CA0DC3" w:rsidRPr="003F6861" w:rsidRDefault="00CA0DC3" w:rsidP="00CA0DC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6861">
              <w:rPr>
                <w:rFonts w:asciiTheme="minorHAnsi" w:hAnsiTheme="minorHAnsi"/>
              </w:rPr>
              <w:t>Work with parents to support children’s wider wellbeing</w:t>
            </w:r>
            <w:r>
              <w:rPr>
                <w:rFonts w:asciiTheme="minorHAnsi" w:hAnsiTheme="minorHAnsi"/>
              </w:rPr>
              <w:t xml:space="preserve"> and engagement of physical activity. </w:t>
            </w:r>
          </w:p>
          <w:p w:rsidR="00CA0DC3" w:rsidRDefault="00CA0DC3" w:rsidP="00CA0DC3">
            <w:pPr>
              <w:pStyle w:val="ListParagraph"/>
            </w:pPr>
          </w:p>
        </w:tc>
      </w:tr>
    </w:tbl>
    <w:p w:rsidR="00DF4782" w:rsidRDefault="00DF47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F4782" w:rsidTr="00DF4782">
        <w:tc>
          <w:tcPr>
            <w:tcW w:w="6974" w:type="dxa"/>
          </w:tcPr>
          <w:p w:rsidR="00DF4782" w:rsidRDefault="00DF4782">
            <w:r>
              <w:t>Meeting national curriculum requirements for swimming and water safety</w:t>
            </w:r>
          </w:p>
        </w:tc>
        <w:tc>
          <w:tcPr>
            <w:tcW w:w="6974" w:type="dxa"/>
          </w:tcPr>
          <w:p w:rsidR="00DF4782" w:rsidRDefault="00DF4782">
            <w:r>
              <w:t>Please complete all of the below</w:t>
            </w:r>
          </w:p>
        </w:tc>
      </w:tr>
      <w:tr w:rsidR="00DF4782" w:rsidTr="00DF4782">
        <w:tc>
          <w:tcPr>
            <w:tcW w:w="6974" w:type="dxa"/>
          </w:tcPr>
          <w:p w:rsidR="00DF4782" w:rsidRPr="00E0196C" w:rsidRDefault="00DF4782" w:rsidP="00DF4782">
            <w:pPr>
              <w:pStyle w:val="TableParagraph"/>
              <w:spacing w:before="22" w:line="235" w:lineRule="auto"/>
              <w:rPr>
                <w:rFonts w:asciiTheme="minorHAnsi" w:hAnsiTheme="minorHAnsi"/>
              </w:rPr>
            </w:pPr>
            <w:r w:rsidRPr="00E0196C">
              <w:rPr>
                <w:rFonts w:asciiTheme="minorHAnsi" w:hAnsiTheme="minorHAnsi"/>
                <w:color w:val="231F20"/>
              </w:rPr>
              <w:t>What percentage of your current</w:t>
            </w:r>
            <w:r w:rsidRPr="00E0196C">
              <w:rPr>
                <w:rFonts w:asciiTheme="minorHAnsi" w:hAnsiTheme="minorHAnsi"/>
                <w:color w:val="231F20"/>
                <w:spacing w:val="-5"/>
              </w:rPr>
              <w:t xml:space="preserve"> Year </w:t>
            </w:r>
            <w:r w:rsidRPr="00E0196C">
              <w:rPr>
                <w:rFonts w:asciiTheme="minorHAnsi" w:hAnsiTheme="minorHAnsi"/>
                <w:color w:val="231F20"/>
              </w:rPr>
              <w:t xml:space="preserve">6 cohort swim </w:t>
            </w:r>
            <w:r w:rsidRPr="00E0196C">
              <w:rPr>
                <w:rFonts w:asciiTheme="minorHAnsi" w:hAnsiTheme="minorHAnsi"/>
                <w:color w:val="231F20"/>
                <w:spacing w:val="-3"/>
              </w:rPr>
              <w:t xml:space="preserve">competently, </w:t>
            </w:r>
            <w:r w:rsidRPr="00E0196C">
              <w:rPr>
                <w:rFonts w:asciiTheme="minorHAnsi" w:hAnsiTheme="minorHAnsi"/>
                <w:color w:val="231F20"/>
              </w:rPr>
              <w:t>confidently and proficiently over a distance of at least 25 metres?</w:t>
            </w:r>
          </w:p>
          <w:p w:rsidR="00DF4782" w:rsidRPr="00E0196C" w:rsidRDefault="00DF4782" w:rsidP="00DF4782">
            <w:pPr>
              <w:pStyle w:val="TableParagraph"/>
              <w:spacing w:line="312" w:lineRule="exact"/>
              <w:rPr>
                <w:rFonts w:asciiTheme="minorHAnsi" w:hAnsiTheme="minorHAnsi"/>
              </w:rPr>
            </w:pPr>
            <w:r w:rsidRPr="00E0196C">
              <w:rPr>
                <w:rFonts w:asciiTheme="minorHAnsi" w:hAnsiTheme="minorHAnsi"/>
                <w:b/>
                <w:color w:val="231F20"/>
              </w:rPr>
              <w:t xml:space="preserve">N.B. </w:t>
            </w:r>
            <w:r w:rsidRPr="00E0196C">
              <w:rPr>
                <w:rFonts w:asciiTheme="minorHAnsi" w:hAnsiTheme="minorHAnsi"/>
                <w:color w:val="231F20"/>
              </w:rPr>
              <w:t>Even though your pupils may swim in another year please report on their attainment on leaving</w:t>
            </w:r>
          </w:p>
          <w:p w:rsidR="00DF4782" w:rsidRPr="00E0196C" w:rsidRDefault="00DF4782" w:rsidP="00DF4782">
            <w:proofErr w:type="gramStart"/>
            <w:r w:rsidRPr="00E0196C">
              <w:rPr>
                <w:color w:val="231F20"/>
              </w:rPr>
              <w:t>primary</w:t>
            </w:r>
            <w:proofErr w:type="gramEnd"/>
            <w:r w:rsidRPr="00E0196C">
              <w:rPr>
                <w:color w:val="231F20"/>
              </w:rPr>
              <w:t xml:space="preserve"> school at the end of the summer term 2020.</w:t>
            </w:r>
          </w:p>
        </w:tc>
        <w:tc>
          <w:tcPr>
            <w:tcW w:w="6974" w:type="dxa"/>
          </w:tcPr>
          <w:p w:rsidR="00DF4782" w:rsidRPr="00E0196C" w:rsidRDefault="003F6861">
            <w:r w:rsidRPr="00E0196C">
              <w:t>This will be assessed Summer 2020</w:t>
            </w:r>
          </w:p>
        </w:tc>
      </w:tr>
      <w:tr w:rsidR="00DF4782" w:rsidTr="00DF4782">
        <w:tc>
          <w:tcPr>
            <w:tcW w:w="6974" w:type="dxa"/>
          </w:tcPr>
          <w:p w:rsidR="00DF4782" w:rsidRPr="00E0196C" w:rsidRDefault="00DF4782">
            <w:r w:rsidRPr="00E0196C">
              <w:rPr>
                <w:color w:val="231F20"/>
              </w:rPr>
              <w:t xml:space="preserve">What percentage of your current </w:t>
            </w:r>
            <w:r w:rsidRPr="00E0196C">
              <w:rPr>
                <w:color w:val="231F20"/>
                <w:spacing w:val="-5"/>
              </w:rPr>
              <w:t xml:space="preserve">Year </w:t>
            </w:r>
            <w:r w:rsidRPr="00E0196C">
              <w:rPr>
                <w:color w:val="231F20"/>
              </w:rPr>
              <w:t xml:space="preserve">6 cohort use a range of </w:t>
            </w:r>
            <w:r w:rsidRPr="00E0196C">
              <w:rPr>
                <w:color w:val="231F20"/>
                <w:spacing w:val="-3"/>
              </w:rPr>
              <w:t xml:space="preserve">strokes </w:t>
            </w:r>
            <w:r w:rsidRPr="00E0196C">
              <w:rPr>
                <w:color w:val="231F20"/>
              </w:rPr>
              <w:t xml:space="preserve">effectively [for example, front crawl, </w:t>
            </w:r>
            <w:r w:rsidRPr="00E0196C">
              <w:rPr>
                <w:color w:val="231F20"/>
                <w:spacing w:val="-3"/>
              </w:rPr>
              <w:t xml:space="preserve">backstroke </w:t>
            </w:r>
            <w:r w:rsidRPr="00E0196C">
              <w:rPr>
                <w:color w:val="231F20"/>
              </w:rPr>
              <w:t>and breaststroke]?</w:t>
            </w:r>
          </w:p>
        </w:tc>
        <w:tc>
          <w:tcPr>
            <w:tcW w:w="6974" w:type="dxa"/>
          </w:tcPr>
          <w:p w:rsidR="00DF4782" w:rsidRPr="00E0196C" w:rsidRDefault="003F6861">
            <w:r w:rsidRPr="00E0196C">
              <w:t>This will be assessed Summer 2020</w:t>
            </w:r>
          </w:p>
        </w:tc>
      </w:tr>
      <w:tr w:rsidR="00DF4782" w:rsidTr="00DF4782">
        <w:tc>
          <w:tcPr>
            <w:tcW w:w="6974" w:type="dxa"/>
          </w:tcPr>
          <w:p w:rsidR="00DF4782" w:rsidRPr="00E0196C" w:rsidRDefault="00DF4782">
            <w:r w:rsidRPr="00E0196C">
              <w:rPr>
                <w:color w:val="231F20"/>
              </w:rPr>
              <w:t>What percentage of your current Year 6 cohort perform safe self-rescue in different water-based situations?</w:t>
            </w:r>
          </w:p>
        </w:tc>
        <w:tc>
          <w:tcPr>
            <w:tcW w:w="6974" w:type="dxa"/>
          </w:tcPr>
          <w:p w:rsidR="00DF4782" w:rsidRPr="00E0196C" w:rsidRDefault="003F6861">
            <w:r w:rsidRPr="00E0196C">
              <w:t>This will be assessed Summer 2020</w:t>
            </w:r>
          </w:p>
        </w:tc>
      </w:tr>
      <w:tr w:rsidR="00DF4782" w:rsidTr="00DF4782">
        <w:tc>
          <w:tcPr>
            <w:tcW w:w="6974" w:type="dxa"/>
          </w:tcPr>
          <w:p w:rsidR="00DF4782" w:rsidRPr="00E0196C" w:rsidRDefault="00DF4782">
            <w:r w:rsidRPr="00E0196C">
              <w:rPr>
                <w:color w:val="231F20"/>
              </w:rPr>
              <w:t>Schools</w:t>
            </w:r>
            <w:r w:rsidRPr="00E0196C">
              <w:rPr>
                <w:color w:val="231F20"/>
                <w:spacing w:val="-4"/>
              </w:rPr>
              <w:t xml:space="preserve"> </w:t>
            </w:r>
            <w:r w:rsidRPr="00E0196C">
              <w:rPr>
                <w:color w:val="231F20"/>
              </w:rPr>
              <w:t>can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choose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to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use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the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Primary</w:t>
            </w:r>
            <w:r w:rsidRPr="00E0196C">
              <w:rPr>
                <w:color w:val="231F20"/>
                <w:spacing w:val="-2"/>
              </w:rPr>
              <w:t xml:space="preserve"> </w:t>
            </w:r>
            <w:r w:rsidRPr="00E0196C">
              <w:rPr>
                <w:color w:val="231F20"/>
              </w:rPr>
              <w:t>PE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and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Sport</w:t>
            </w:r>
            <w:r w:rsidRPr="00E0196C">
              <w:rPr>
                <w:color w:val="231F20"/>
                <w:spacing w:val="-4"/>
              </w:rPr>
              <w:t xml:space="preserve"> </w:t>
            </w:r>
            <w:r w:rsidRPr="00E0196C">
              <w:rPr>
                <w:color w:val="231F20"/>
              </w:rPr>
              <w:t>Premium</w:t>
            </w:r>
            <w:r w:rsidRPr="00E0196C">
              <w:rPr>
                <w:color w:val="231F20"/>
                <w:spacing w:val="-2"/>
              </w:rPr>
              <w:t xml:space="preserve"> </w:t>
            </w:r>
            <w:r w:rsidRPr="00E0196C">
              <w:rPr>
                <w:color w:val="231F20"/>
              </w:rPr>
              <w:t>to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provide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additional</w:t>
            </w:r>
            <w:r w:rsidRPr="00E0196C">
              <w:rPr>
                <w:color w:val="231F20"/>
                <w:spacing w:val="-3"/>
              </w:rPr>
              <w:t xml:space="preserve"> </w:t>
            </w:r>
            <w:r w:rsidRPr="00E0196C">
              <w:rPr>
                <w:color w:val="231F20"/>
              </w:rPr>
              <w:t>provision</w:t>
            </w:r>
            <w:r w:rsidRPr="00E0196C">
              <w:rPr>
                <w:color w:val="231F20"/>
                <w:spacing w:val="-3"/>
              </w:rPr>
              <w:t xml:space="preserve"> for </w:t>
            </w:r>
            <w:r w:rsidRPr="00E0196C">
              <w:rPr>
                <w:color w:val="231F20"/>
              </w:rPr>
              <w:t xml:space="preserve">swimming but this must be </w:t>
            </w:r>
            <w:r w:rsidRPr="00E0196C">
              <w:rPr>
                <w:color w:val="231F20"/>
                <w:spacing w:val="-3"/>
              </w:rPr>
              <w:t xml:space="preserve">for </w:t>
            </w:r>
            <w:r w:rsidRPr="00E0196C">
              <w:rPr>
                <w:color w:val="231F20"/>
              </w:rPr>
              <w:t xml:space="preserve">activity </w:t>
            </w:r>
            <w:r w:rsidRPr="00E0196C">
              <w:rPr>
                <w:b/>
                <w:color w:val="231F20"/>
              </w:rPr>
              <w:t xml:space="preserve">over and above </w:t>
            </w:r>
            <w:r w:rsidRPr="00E0196C">
              <w:rPr>
                <w:color w:val="231F20"/>
              </w:rPr>
              <w:t xml:space="preserve">the national curriculum requirements. </w:t>
            </w:r>
            <w:r w:rsidRPr="00E0196C">
              <w:rPr>
                <w:color w:val="231F20"/>
                <w:spacing w:val="-3"/>
              </w:rPr>
              <w:t xml:space="preserve">Have </w:t>
            </w:r>
            <w:r w:rsidRPr="00E0196C">
              <w:rPr>
                <w:color w:val="231F20"/>
              </w:rPr>
              <w:t xml:space="preserve">you used it in this </w:t>
            </w:r>
            <w:r w:rsidRPr="00E0196C">
              <w:rPr>
                <w:color w:val="231F20"/>
                <w:spacing w:val="-3"/>
              </w:rPr>
              <w:t>way?</w:t>
            </w:r>
          </w:p>
        </w:tc>
        <w:tc>
          <w:tcPr>
            <w:tcW w:w="6974" w:type="dxa"/>
          </w:tcPr>
          <w:p w:rsidR="00DF4782" w:rsidRPr="00E0196C" w:rsidRDefault="003F6861">
            <w:r w:rsidRPr="00E0196C">
              <w:t>NO</w:t>
            </w:r>
          </w:p>
        </w:tc>
      </w:tr>
    </w:tbl>
    <w:p w:rsidR="00882584" w:rsidRDefault="00882584"/>
    <w:p w:rsidR="00E0196C" w:rsidRDefault="00E0196C"/>
    <w:p w:rsidR="00E0196C" w:rsidRDefault="00E0196C"/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146"/>
        <w:gridCol w:w="1107"/>
        <w:gridCol w:w="3394"/>
        <w:gridCol w:w="2701"/>
      </w:tblGrid>
      <w:tr w:rsidR="00DF4782" w:rsidRPr="006F6CA9" w:rsidTr="00FD7E41">
        <w:trPr>
          <w:trHeight w:val="366"/>
        </w:trPr>
        <w:tc>
          <w:tcPr>
            <w:tcW w:w="3544" w:type="dxa"/>
          </w:tcPr>
          <w:p w:rsidR="00DF4782" w:rsidRPr="006F6CA9" w:rsidRDefault="00DF4782" w:rsidP="007B789A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>
              <w:rPr>
                <w:rFonts w:asciiTheme="minorHAnsi" w:hAnsiTheme="minorHAnsi"/>
                <w:color w:val="231F20"/>
                <w:sz w:val="24"/>
              </w:rPr>
              <w:t>2019/20</w:t>
            </w:r>
          </w:p>
        </w:tc>
        <w:tc>
          <w:tcPr>
            <w:tcW w:w="3146" w:type="dxa"/>
          </w:tcPr>
          <w:p w:rsidR="00DF4782" w:rsidRPr="006F6CA9" w:rsidRDefault="00DF4782" w:rsidP="007B789A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D15496">
              <w:rPr>
                <w:rFonts w:asciiTheme="minorHAnsi" w:hAnsiTheme="minorHAnsi"/>
                <w:color w:val="231F20"/>
                <w:sz w:val="24"/>
              </w:rPr>
              <w:t>16,740</w:t>
            </w:r>
          </w:p>
        </w:tc>
        <w:tc>
          <w:tcPr>
            <w:tcW w:w="4501" w:type="dxa"/>
            <w:gridSpan w:val="2"/>
          </w:tcPr>
          <w:p w:rsidR="00DF4782" w:rsidRPr="006F6CA9" w:rsidRDefault="00DF4782" w:rsidP="007B789A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D15496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D15496" w:rsidRPr="00D15496">
              <w:rPr>
                <w:rFonts w:asciiTheme="minorHAnsi" w:hAnsiTheme="minorHAnsi"/>
                <w:color w:val="231F20"/>
                <w:sz w:val="24"/>
              </w:rPr>
              <w:t>January 2020</w:t>
            </w:r>
          </w:p>
        </w:tc>
        <w:tc>
          <w:tcPr>
            <w:tcW w:w="2701" w:type="dxa"/>
            <w:tcBorders>
              <w:top w:val="nil"/>
              <w:right w:val="nil"/>
            </w:tcBorders>
          </w:tcPr>
          <w:p w:rsidR="00DF4782" w:rsidRPr="006F6CA9" w:rsidRDefault="00DF4782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F4782" w:rsidRPr="006F6CA9" w:rsidTr="00882584">
        <w:trPr>
          <w:trHeight w:val="318"/>
        </w:trPr>
        <w:tc>
          <w:tcPr>
            <w:tcW w:w="11191" w:type="dxa"/>
            <w:gridSpan w:val="4"/>
            <w:vMerge w:val="restart"/>
          </w:tcPr>
          <w:p w:rsidR="00DF4782" w:rsidRPr="006F6CA9" w:rsidRDefault="00DF4782" w:rsidP="00882584">
            <w:pPr>
              <w:pStyle w:val="TableParagraph"/>
              <w:spacing w:before="26" w:line="235" w:lineRule="auto"/>
              <w:ind w:left="0"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2701" w:type="dxa"/>
          </w:tcPr>
          <w:p w:rsidR="00DF4782" w:rsidRPr="006F6CA9" w:rsidRDefault="00DF4782" w:rsidP="007B789A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DF4782" w:rsidRPr="006F6CA9" w:rsidTr="00882584">
        <w:trPr>
          <w:trHeight w:val="318"/>
        </w:trPr>
        <w:tc>
          <w:tcPr>
            <w:tcW w:w="11191" w:type="dxa"/>
            <w:gridSpan w:val="4"/>
            <w:vMerge/>
            <w:tcBorders>
              <w:top w:val="nil"/>
            </w:tcBorders>
          </w:tcPr>
          <w:p w:rsidR="00DF4782" w:rsidRPr="006F6CA9" w:rsidRDefault="00DF4782" w:rsidP="007B789A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DF4782" w:rsidRPr="006F6CA9" w:rsidRDefault="00DF4782" w:rsidP="007B789A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DF4782" w:rsidRPr="006F6CA9" w:rsidTr="00762AE9">
        <w:trPr>
          <w:trHeight w:val="373"/>
        </w:trPr>
        <w:tc>
          <w:tcPr>
            <w:tcW w:w="3544" w:type="dxa"/>
          </w:tcPr>
          <w:p w:rsidR="00DF4782" w:rsidRPr="006F6CA9" w:rsidRDefault="00DF4782" w:rsidP="00882584">
            <w:pPr>
              <w:pStyle w:val="TableParagraph"/>
              <w:spacing w:before="21"/>
              <w:ind w:right="1515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4253" w:type="dxa"/>
            <w:gridSpan w:val="2"/>
          </w:tcPr>
          <w:p w:rsidR="00DF4782" w:rsidRPr="006F6CA9" w:rsidRDefault="00DF4782" w:rsidP="00882584">
            <w:pPr>
              <w:pStyle w:val="TableParagraph"/>
              <w:spacing w:before="21"/>
              <w:ind w:right="1760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94" w:type="dxa"/>
          </w:tcPr>
          <w:p w:rsidR="00DF4782" w:rsidRPr="006F6CA9" w:rsidRDefault="00DF4782" w:rsidP="00882584">
            <w:pPr>
              <w:pStyle w:val="TableParagraph"/>
              <w:spacing w:before="21"/>
              <w:ind w:left="0" w:right="1268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2701" w:type="dxa"/>
          </w:tcPr>
          <w:p w:rsidR="00DF4782" w:rsidRPr="006F6CA9" w:rsidRDefault="00E0196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33%</w:t>
            </w:r>
          </w:p>
        </w:tc>
      </w:tr>
      <w:tr w:rsidR="00DF4782" w:rsidRPr="006F6CA9" w:rsidTr="00762AE9">
        <w:trPr>
          <w:trHeight w:val="643"/>
        </w:trPr>
        <w:tc>
          <w:tcPr>
            <w:tcW w:w="3544" w:type="dxa"/>
          </w:tcPr>
          <w:p w:rsidR="00DF4782" w:rsidRPr="006F6CA9" w:rsidRDefault="00882584" w:rsidP="007B789A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t>School focus with clarity on intended impact on pupils:</w:t>
            </w:r>
          </w:p>
        </w:tc>
        <w:tc>
          <w:tcPr>
            <w:tcW w:w="3146" w:type="dxa"/>
          </w:tcPr>
          <w:p w:rsidR="00DF4782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t>Actions to achieve:</w:t>
            </w:r>
          </w:p>
        </w:tc>
        <w:tc>
          <w:tcPr>
            <w:tcW w:w="1107" w:type="dxa"/>
          </w:tcPr>
          <w:p w:rsidR="00DF4782" w:rsidRPr="006F6CA9" w:rsidRDefault="00DF4782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94" w:type="dxa"/>
          </w:tcPr>
          <w:p w:rsidR="00DF4782" w:rsidRPr="006F6CA9" w:rsidRDefault="00DF4782" w:rsidP="00882584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of impact: </w:t>
            </w:r>
          </w:p>
        </w:tc>
        <w:tc>
          <w:tcPr>
            <w:tcW w:w="2701" w:type="dxa"/>
          </w:tcPr>
          <w:p w:rsidR="00DF4782" w:rsidRPr="006F6CA9" w:rsidRDefault="00DF4782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DF4782" w:rsidRPr="006F6CA9" w:rsidTr="00762AE9">
        <w:trPr>
          <w:trHeight w:val="1633"/>
        </w:trPr>
        <w:tc>
          <w:tcPr>
            <w:tcW w:w="3544" w:type="dxa"/>
            <w:tcBorders>
              <w:bottom w:val="single" w:sz="12" w:space="0" w:color="231F20"/>
            </w:tcBorders>
          </w:tcPr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amount of time that children can engage in Sport within school.</w:t>
            </w:r>
          </w:p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660B6" w:rsidRDefault="004660B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amount of activities that children can participate in during break times to encourage the increase of physical activity. 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physical activity during lunchtimes. </w:t>
            </w:r>
          </w:p>
        </w:tc>
        <w:tc>
          <w:tcPr>
            <w:tcW w:w="3146" w:type="dxa"/>
            <w:tcBorders>
              <w:bottom w:val="single" w:sz="12" w:space="0" w:color="231F20"/>
            </w:tcBorders>
          </w:tcPr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offer free after school club sports sessions. </w:t>
            </w:r>
          </w:p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4660B6" w:rsidRDefault="004660B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62AE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Active playground markings.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Lunch time clubs twice weekly</w:t>
            </w:r>
          </w:p>
        </w:tc>
        <w:tc>
          <w:tcPr>
            <w:tcW w:w="1107" w:type="dxa"/>
            <w:tcBorders>
              <w:bottom w:val="single" w:sz="12" w:space="0" w:color="231F20"/>
            </w:tcBorders>
          </w:tcPr>
          <w:p w:rsidR="00762AE9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£2100</w:t>
            </w: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660B6" w:rsidRDefault="004660B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£3000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£400</w:t>
            </w:r>
          </w:p>
        </w:tc>
        <w:tc>
          <w:tcPr>
            <w:tcW w:w="3394" w:type="dxa"/>
            <w:tcBorders>
              <w:bottom w:val="single" w:sz="12" w:space="0" w:color="231F20"/>
            </w:tcBorders>
          </w:tcPr>
          <w:p w:rsidR="00DF4782" w:rsidRDefault="004660B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Many children take up the offer of the after school club and this has increased the level of participation of physical activity within school.</w:t>
            </w:r>
          </w:p>
          <w:p w:rsidR="004660B6" w:rsidRDefault="004660B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660B6" w:rsidRDefault="004660B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give children </w:t>
            </w:r>
            <w:r w:rsidR="00FA50D3">
              <w:rPr>
                <w:rFonts w:asciiTheme="minorHAnsi" w:hAnsiTheme="minorHAnsi"/>
                <w:sz w:val="24"/>
              </w:rPr>
              <w:t xml:space="preserve">increased opportunity for physical activity at lunchtimes. </w:t>
            </w:r>
          </w:p>
          <w:p w:rsidR="00FA50D3" w:rsidRDefault="00FA50D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A50D3" w:rsidRDefault="00FA50D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FA50D3" w:rsidRPr="006F6CA9" w:rsidRDefault="00FA50D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More children are participating in physical activity during lunchtime. The maximum take up is happening. </w:t>
            </w:r>
          </w:p>
        </w:tc>
        <w:tc>
          <w:tcPr>
            <w:tcW w:w="2701" w:type="dxa"/>
            <w:tcBorders>
              <w:bottom w:val="single" w:sz="12" w:space="0" w:color="231F20"/>
            </w:tcBorders>
          </w:tcPr>
          <w:p w:rsidR="00AD4C2B" w:rsidRDefault="00762AE9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continue offering free sports sessions after school and try to increase the range of activities offered.</w:t>
            </w: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62AE9" w:rsidRPr="006F6CA9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Encourage children to use the markings and show them different ideas as to how they can use them effectively. </w:t>
            </w:r>
            <w:r w:rsidR="00762AE9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882584" w:rsidRDefault="00882584"/>
    <w:p w:rsidR="00762AE9" w:rsidRDefault="00762AE9"/>
    <w:p w:rsidR="003F6861" w:rsidRDefault="003F6861"/>
    <w:p w:rsidR="00FA50D3" w:rsidRDefault="00FA50D3"/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261"/>
        <w:gridCol w:w="1417"/>
        <w:gridCol w:w="2977"/>
        <w:gridCol w:w="2835"/>
      </w:tblGrid>
      <w:tr w:rsidR="00882584" w:rsidRPr="006F6CA9" w:rsidTr="00882584">
        <w:trPr>
          <w:trHeight w:val="315"/>
        </w:trPr>
        <w:tc>
          <w:tcPr>
            <w:tcW w:w="11057" w:type="dxa"/>
            <w:gridSpan w:val="4"/>
            <w:vMerge w:val="restart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2835" w:type="dxa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82584" w:rsidRPr="006F6CA9" w:rsidTr="00882584">
        <w:trPr>
          <w:trHeight w:val="320"/>
        </w:trPr>
        <w:tc>
          <w:tcPr>
            <w:tcW w:w="11057" w:type="dxa"/>
            <w:gridSpan w:val="4"/>
            <w:vMerge/>
            <w:tcBorders>
              <w:top w:val="nil"/>
            </w:tcBorders>
          </w:tcPr>
          <w:p w:rsidR="00882584" w:rsidRPr="006F6CA9" w:rsidRDefault="00882584" w:rsidP="007B789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82584" w:rsidRPr="006F6CA9" w:rsidTr="00882584">
        <w:trPr>
          <w:trHeight w:val="405"/>
        </w:trPr>
        <w:tc>
          <w:tcPr>
            <w:tcW w:w="3402" w:type="dxa"/>
          </w:tcPr>
          <w:p w:rsidR="00882584" w:rsidRPr="006F6CA9" w:rsidRDefault="00882584" w:rsidP="00882584">
            <w:pPr>
              <w:pStyle w:val="TableParagraph"/>
              <w:spacing w:before="21"/>
              <w:ind w:right="1515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4678" w:type="dxa"/>
            <w:gridSpan w:val="2"/>
          </w:tcPr>
          <w:p w:rsidR="00882584" w:rsidRPr="006F6CA9" w:rsidRDefault="00882584" w:rsidP="00882584">
            <w:pPr>
              <w:pStyle w:val="TableParagraph"/>
              <w:spacing w:before="21"/>
              <w:ind w:right="1760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2977" w:type="dxa"/>
          </w:tcPr>
          <w:p w:rsidR="00882584" w:rsidRPr="006F6CA9" w:rsidRDefault="00882584" w:rsidP="00882584">
            <w:pPr>
              <w:pStyle w:val="TableParagraph"/>
              <w:spacing w:before="21"/>
              <w:ind w:right="1268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2835" w:type="dxa"/>
          </w:tcPr>
          <w:p w:rsidR="00882584" w:rsidRPr="006F6CA9" w:rsidRDefault="00E0196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20%</w:t>
            </w:r>
          </w:p>
        </w:tc>
      </w:tr>
      <w:tr w:rsidR="00882584" w:rsidRPr="006F6CA9" w:rsidTr="00882584">
        <w:trPr>
          <w:trHeight w:val="664"/>
        </w:trPr>
        <w:tc>
          <w:tcPr>
            <w:tcW w:w="3402" w:type="dxa"/>
          </w:tcPr>
          <w:p w:rsidR="00882584" w:rsidRPr="006F6CA9" w:rsidRDefault="00882584" w:rsidP="007B789A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t>School focus with clarity on intended impact on pupils:</w:t>
            </w:r>
          </w:p>
        </w:tc>
        <w:tc>
          <w:tcPr>
            <w:tcW w:w="3261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t>Action</w:t>
            </w:r>
            <w:r w:rsidRPr="00882584">
              <w:t>s</w:t>
            </w:r>
            <w:r>
              <w:t xml:space="preserve"> to achieve:</w:t>
            </w:r>
          </w:p>
        </w:tc>
        <w:tc>
          <w:tcPr>
            <w:tcW w:w="1417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2977" w:type="dxa"/>
          </w:tcPr>
          <w:p w:rsidR="00882584" w:rsidRPr="006F6CA9" w:rsidRDefault="00882584" w:rsidP="00882584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Evidence of impact:</w:t>
            </w: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82584" w:rsidRPr="006F6CA9" w:rsidTr="00882584">
        <w:trPr>
          <w:trHeight w:val="907"/>
        </w:trPr>
        <w:tc>
          <w:tcPr>
            <w:tcW w:w="3402" w:type="dxa"/>
          </w:tcPr>
          <w:p w:rsidR="00762AE9" w:rsidRDefault="00762AE9" w:rsidP="00762A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improve engagement in PE and to develop this with parents.</w:t>
            </w:r>
          </w:p>
          <w:p w:rsidR="00882584" w:rsidRDefault="00882584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30786" w:rsidRPr="00030786" w:rsidRDefault="00030786" w:rsidP="00030786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30786">
              <w:rPr>
                <w:rFonts w:asciiTheme="minorHAnsi" w:hAnsiTheme="minorHAnsi"/>
                <w:sz w:val="24"/>
                <w:szCs w:val="24"/>
              </w:rPr>
              <w:t>To launch the Jigsaw PSHE scheme of work.</w:t>
            </w:r>
          </w:p>
          <w:p w:rsidR="00030786" w:rsidRDefault="00030786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D4C2B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Pr="00A239A5" w:rsidRDefault="00A239A5" w:rsidP="00A239A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239A5">
              <w:rPr>
                <w:sz w:val="24"/>
                <w:szCs w:val="24"/>
              </w:rPr>
              <w:t xml:space="preserve">Purchase the </w:t>
            </w:r>
            <w:proofErr w:type="spellStart"/>
            <w:r w:rsidRPr="00A239A5">
              <w:rPr>
                <w:sz w:val="24"/>
                <w:szCs w:val="24"/>
              </w:rPr>
              <w:t>InvestEd</w:t>
            </w:r>
            <w:proofErr w:type="spellEnd"/>
            <w:r w:rsidRPr="00A239A5">
              <w:rPr>
                <w:sz w:val="24"/>
                <w:szCs w:val="24"/>
              </w:rPr>
              <w:t xml:space="preserve"> Wellbeing programme to support children’s physical and mental wellbeing.</w:t>
            </w:r>
          </w:p>
          <w:p w:rsidR="00A239A5" w:rsidRPr="006F6CA9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</w:tcPr>
          <w:p w:rsidR="00762AE9" w:rsidRDefault="00762AE9" w:rsidP="00762A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Allow for additional opportunities of PE and sport and get parents to support the development of this. PE Café training </w:t>
            </w:r>
          </w:p>
          <w:p w:rsidR="00882584" w:rsidRDefault="00882584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30786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4A">
              <w:rPr>
                <w:rFonts w:asciiTheme="minorHAnsi" w:hAnsiTheme="minorHAnsi"/>
                <w:sz w:val="24"/>
                <w:szCs w:val="24"/>
              </w:rPr>
              <w:t>A whole school approach to PSHE and healthy lifestyles will ensure coverage and progression for all.</w:t>
            </w: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239A5" w:rsidRP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239A5">
              <w:rPr>
                <w:sz w:val="24"/>
                <w:szCs w:val="24"/>
              </w:rPr>
              <w:t>School provides children with a different experience of exercise which promotes physical and mental wellbeing.</w:t>
            </w: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239A5" w:rsidRPr="00DC094A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E9" w:rsidRDefault="00762AE9" w:rsidP="00762A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£350</w:t>
            </w:r>
          </w:p>
          <w:p w:rsidR="00882584" w:rsidRDefault="00882584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£1,900</w:t>
            </w: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39A5" w:rsidRPr="006F6CA9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£1,111</w:t>
            </w:r>
          </w:p>
        </w:tc>
        <w:tc>
          <w:tcPr>
            <w:tcW w:w="2977" w:type="dxa"/>
          </w:tcPr>
          <w:p w:rsidR="00882584" w:rsidRDefault="00882584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4A">
              <w:rPr>
                <w:rFonts w:asciiTheme="minorHAnsi" w:hAnsiTheme="minorHAnsi"/>
                <w:sz w:val="24"/>
                <w:szCs w:val="24"/>
              </w:rPr>
              <w:t>Children will have relevant learning experiences and their physical and mental health will be nurtured, equipping them to access the wider world successfully</w:t>
            </w:r>
          </w:p>
          <w:p w:rsidR="00A239A5" w:rsidRDefault="00A239A5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239A5" w:rsidRPr="001932CC" w:rsidRDefault="001932CC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32CC">
              <w:rPr>
                <w:sz w:val="24"/>
                <w:szCs w:val="24"/>
              </w:rPr>
              <w:t>Children have opportunity to develop long term skill and benefit from the physical and wellbeing benefits associated.</w:t>
            </w:r>
          </w:p>
        </w:tc>
        <w:tc>
          <w:tcPr>
            <w:tcW w:w="2835" w:type="dxa"/>
          </w:tcPr>
          <w:p w:rsidR="00762AE9" w:rsidRDefault="00762AE9" w:rsidP="00762A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get the PE café embedded into school life and try and increase the parent participation.</w:t>
            </w:r>
          </w:p>
          <w:p w:rsidR="00882584" w:rsidRDefault="00882584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094A" w:rsidRPr="00DC094A" w:rsidRDefault="00DC094A" w:rsidP="00DC094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4A">
              <w:rPr>
                <w:rFonts w:asciiTheme="minorHAnsi" w:hAnsiTheme="minorHAnsi"/>
                <w:sz w:val="24"/>
                <w:szCs w:val="24"/>
              </w:rPr>
              <w:t xml:space="preserve">PSHE/PE subject leaders to work in conjunction to monitor and assess scheme of work. </w:t>
            </w:r>
          </w:p>
          <w:p w:rsidR="00DC094A" w:rsidRDefault="00DC094A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932CC" w:rsidRDefault="001932C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932CC" w:rsidRDefault="001932C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932CC" w:rsidRPr="001932CC" w:rsidRDefault="001932CC" w:rsidP="007B789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932CC">
              <w:rPr>
                <w:sz w:val="24"/>
                <w:szCs w:val="24"/>
              </w:rPr>
              <w:t>Ongoing programme which will promote health and wellbeing.</w:t>
            </w:r>
          </w:p>
        </w:tc>
      </w:tr>
    </w:tbl>
    <w:p w:rsidR="00882584" w:rsidRDefault="00882584"/>
    <w:p w:rsidR="00882584" w:rsidRDefault="00882584"/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261"/>
        <w:gridCol w:w="1417"/>
        <w:gridCol w:w="2977"/>
        <w:gridCol w:w="2835"/>
      </w:tblGrid>
      <w:tr w:rsidR="00882584" w:rsidRPr="006F6CA9" w:rsidTr="007B789A">
        <w:trPr>
          <w:trHeight w:val="315"/>
        </w:trPr>
        <w:tc>
          <w:tcPr>
            <w:tcW w:w="11057" w:type="dxa"/>
            <w:gridSpan w:val="4"/>
            <w:vMerge w:val="restart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2835" w:type="dxa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82584" w:rsidRPr="006F6CA9" w:rsidTr="007B789A">
        <w:trPr>
          <w:trHeight w:val="320"/>
        </w:trPr>
        <w:tc>
          <w:tcPr>
            <w:tcW w:w="11057" w:type="dxa"/>
            <w:gridSpan w:val="4"/>
            <w:vMerge/>
            <w:tcBorders>
              <w:top w:val="nil"/>
            </w:tcBorders>
          </w:tcPr>
          <w:p w:rsidR="00882584" w:rsidRPr="006F6CA9" w:rsidRDefault="00882584" w:rsidP="007B789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82584" w:rsidRPr="006F6CA9" w:rsidTr="007B789A">
        <w:trPr>
          <w:trHeight w:val="405"/>
        </w:trPr>
        <w:tc>
          <w:tcPr>
            <w:tcW w:w="3402" w:type="dxa"/>
          </w:tcPr>
          <w:p w:rsidR="00882584" w:rsidRPr="006F6CA9" w:rsidRDefault="00882584" w:rsidP="007B789A">
            <w:pPr>
              <w:pStyle w:val="TableParagraph"/>
              <w:spacing w:before="21"/>
              <w:ind w:right="1515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4678" w:type="dxa"/>
            <w:gridSpan w:val="2"/>
          </w:tcPr>
          <w:p w:rsidR="00882584" w:rsidRPr="006F6CA9" w:rsidRDefault="00882584" w:rsidP="007B789A">
            <w:pPr>
              <w:pStyle w:val="TableParagraph"/>
              <w:spacing w:before="21"/>
              <w:ind w:right="1760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2977" w:type="dxa"/>
          </w:tcPr>
          <w:p w:rsidR="00882584" w:rsidRPr="006F6CA9" w:rsidRDefault="00882584" w:rsidP="007B789A">
            <w:pPr>
              <w:pStyle w:val="TableParagraph"/>
              <w:spacing w:before="21"/>
              <w:ind w:right="1268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2835" w:type="dxa"/>
          </w:tcPr>
          <w:p w:rsidR="00882584" w:rsidRPr="006F6CA9" w:rsidRDefault="00E0196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82584" w:rsidRPr="006F6CA9" w:rsidTr="007B789A">
        <w:trPr>
          <w:trHeight w:val="664"/>
        </w:trPr>
        <w:tc>
          <w:tcPr>
            <w:tcW w:w="3402" w:type="dxa"/>
          </w:tcPr>
          <w:p w:rsidR="00882584" w:rsidRPr="006F6CA9" w:rsidRDefault="00882584" w:rsidP="007B789A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t>School focus with clarity on intended impact on pupils:</w:t>
            </w:r>
          </w:p>
        </w:tc>
        <w:tc>
          <w:tcPr>
            <w:tcW w:w="3261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t>Action</w:t>
            </w:r>
            <w:r w:rsidRPr="00882584">
              <w:t>s</w:t>
            </w:r>
            <w:r>
              <w:t xml:space="preserve"> to achieve:</w:t>
            </w:r>
          </w:p>
        </w:tc>
        <w:tc>
          <w:tcPr>
            <w:tcW w:w="1417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2977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Evidence of impact:</w:t>
            </w: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82584" w:rsidRPr="006F6CA9" w:rsidTr="007B789A">
        <w:trPr>
          <w:trHeight w:val="907"/>
        </w:trPr>
        <w:tc>
          <w:tcPr>
            <w:tcW w:w="3402" w:type="dxa"/>
          </w:tcPr>
          <w:p w:rsidR="00882584" w:rsidRPr="006F6CA9" w:rsidRDefault="00114B9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and improve the physical development of early years children. </w:t>
            </w:r>
          </w:p>
        </w:tc>
        <w:tc>
          <w:tcPr>
            <w:tcW w:w="3261" w:type="dxa"/>
          </w:tcPr>
          <w:p w:rsidR="00882584" w:rsidRPr="006F6CA9" w:rsidRDefault="00114B9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Physical literacy course.</w:t>
            </w:r>
          </w:p>
        </w:tc>
        <w:tc>
          <w:tcPr>
            <w:tcW w:w="1417" w:type="dxa"/>
          </w:tcPr>
          <w:p w:rsidR="00882584" w:rsidRPr="006F6CA9" w:rsidRDefault="00114B9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£150</w:t>
            </w:r>
          </w:p>
        </w:tc>
        <w:tc>
          <w:tcPr>
            <w:tcW w:w="2977" w:type="dxa"/>
          </w:tcPr>
          <w:p w:rsidR="00882584" w:rsidRPr="006F6CA9" w:rsidRDefault="00114B9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Greater increase in physical activity focus during the day. Children engaging in more activities where they are looking at balance and co-ordination. Using stories in normal lessons to provide physical opportunities when story telling. </w:t>
            </w: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82584" w:rsidRDefault="00882584"/>
    <w:p w:rsidR="00987423" w:rsidRDefault="00987423"/>
    <w:p w:rsidR="00987423" w:rsidRDefault="00987423"/>
    <w:p w:rsidR="003F6861" w:rsidRDefault="003F6861"/>
    <w:p w:rsidR="00987423" w:rsidRDefault="00987423"/>
    <w:p w:rsidR="00987423" w:rsidRDefault="00987423"/>
    <w:p w:rsidR="00987423" w:rsidRDefault="00987423"/>
    <w:p w:rsidR="003F6861" w:rsidRDefault="003F6861"/>
    <w:p w:rsidR="003F6861" w:rsidRDefault="003F6861"/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261"/>
        <w:gridCol w:w="1417"/>
        <w:gridCol w:w="2977"/>
        <w:gridCol w:w="2835"/>
      </w:tblGrid>
      <w:tr w:rsidR="00882584" w:rsidRPr="006F6CA9" w:rsidTr="007B789A">
        <w:trPr>
          <w:trHeight w:val="315"/>
        </w:trPr>
        <w:tc>
          <w:tcPr>
            <w:tcW w:w="11057" w:type="dxa"/>
            <w:gridSpan w:val="4"/>
            <w:vMerge w:val="restart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2835" w:type="dxa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82584" w:rsidRPr="006F6CA9" w:rsidTr="007B789A">
        <w:trPr>
          <w:trHeight w:val="320"/>
        </w:trPr>
        <w:tc>
          <w:tcPr>
            <w:tcW w:w="11057" w:type="dxa"/>
            <w:gridSpan w:val="4"/>
            <w:vMerge/>
            <w:tcBorders>
              <w:top w:val="nil"/>
            </w:tcBorders>
          </w:tcPr>
          <w:p w:rsidR="00882584" w:rsidRPr="006F6CA9" w:rsidRDefault="00882584" w:rsidP="007B789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82584" w:rsidRPr="006F6CA9" w:rsidTr="007B789A">
        <w:trPr>
          <w:trHeight w:val="405"/>
        </w:trPr>
        <w:tc>
          <w:tcPr>
            <w:tcW w:w="3402" w:type="dxa"/>
          </w:tcPr>
          <w:p w:rsidR="00882584" w:rsidRPr="006F6CA9" w:rsidRDefault="00882584" w:rsidP="007B789A">
            <w:pPr>
              <w:pStyle w:val="TableParagraph"/>
              <w:spacing w:before="21"/>
              <w:ind w:right="1515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4678" w:type="dxa"/>
            <w:gridSpan w:val="2"/>
          </w:tcPr>
          <w:p w:rsidR="00882584" w:rsidRPr="006F6CA9" w:rsidRDefault="00882584" w:rsidP="007B789A">
            <w:pPr>
              <w:pStyle w:val="TableParagraph"/>
              <w:spacing w:before="21"/>
              <w:ind w:right="1760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2977" w:type="dxa"/>
          </w:tcPr>
          <w:p w:rsidR="00882584" w:rsidRPr="006F6CA9" w:rsidRDefault="00882584" w:rsidP="007B789A">
            <w:pPr>
              <w:pStyle w:val="TableParagraph"/>
              <w:spacing w:before="21"/>
              <w:ind w:right="1268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2835" w:type="dxa"/>
          </w:tcPr>
          <w:p w:rsidR="00882584" w:rsidRPr="006F6CA9" w:rsidRDefault="00E0196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20%</w:t>
            </w:r>
          </w:p>
        </w:tc>
      </w:tr>
      <w:tr w:rsidR="00882584" w:rsidRPr="006F6CA9" w:rsidTr="007B789A">
        <w:trPr>
          <w:trHeight w:val="664"/>
        </w:trPr>
        <w:tc>
          <w:tcPr>
            <w:tcW w:w="3402" w:type="dxa"/>
          </w:tcPr>
          <w:p w:rsidR="00882584" w:rsidRPr="006F6CA9" w:rsidRDefault="00882584" w:rsidP="007B789A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t>School focus with clarity on intended impact on pupils:</w:t>
            </w:r>
          </w:p>
        </w:tc>
        <w:tc>
          <w:tcPr>
            <w:tcW w:w="3261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t>Action</w:t>
            </w:r>
            <w:r w:rsidRPr="00882584">
              <w:t>s</w:t>
            </w:r>
            <w:r>
              <w:t xml:space="preserve"> to achieve:</w:t>
            </w:r>
          </w:p>
        </w:tc>
        <w:tc>
          <w:tcPr>
            <w:tcW w:w="1417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2977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Evidence of impact:</w:t>
            </w: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82584" w:rsidRPr="006F6CA9" w:rsidTr="007B789A">
        <w:trPr>
          <w:trHeight w:val="907"/>
        </w:trPr>
        <w:tc>
          <w:tcPr>
            <w:tcW w:w="3402" w:type="dxa"/>
          </w:tcPr>
          <w:p w:rsidR="00882584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amount of children that engage in the residential, where many different sports and activities are offered. 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improve health, concentration and mental wellbeing through yoga sessions within school. </w:t>
            </w:r>
          </w:p>
        </w:tc>
        <w:tc>
          <w:tcPr>
            <w:tcW w:w="3261" w:type="dxa"/>
          </w:tcPr>
          <w:p w:rsidR="00882584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fund transport allowing the cost of the residential to be more accessible to pupils. 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Weekly yoga sessions that are used within the classroom and breaks in school weekly. </w:t>
            </w:r>
          </w:p>
        </w:tc>
        <w:tc>
          <w:tcPr>
            <w:tcW w:w="1417" w:type="dxa"/>
          </w:tcPr>
          <w:p w:rsidR="00882584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£420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£3000</w:t>
            </w:r>
          </w:p>
        </w:tc>
        <w:tc>
          <w:tcPr>
            <w:tcW w:w="2977" w:type="dxa"/>
          </w:tcPr>
          <w:p w:rsidR="00882584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have said that they have amazing experience on the residential. Staff report an increase in confidence and </w:t>
            </w:r>
            <w:r w:rsidR="00987423">
              <w:rPr>
                <w:rFonts w:asciiTheme="minorHAnsi" w:hAnsiTheme="minorHAnsi"/>
                <w:sz w:val="24"/>
              </w:rPr>
              <w:t>self-esteem</w:t>
            </w:r>
            <w:r>
              <w:rPr>
                <w:rFonts w:asciiTheme="minorHAnsi" w:hAnsiTheme="minorHAnsi"/>
                <w:sz w:val="24"/>
              </w:rPr>
              <w:t xml:space="preserve">. Some children also take up new activities that they took part in. 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An improvement of behaviour within the school and concentration levels. Children are also using techniques to regulate behaviour. </w:t>
            </w:r>
          </w:p>
        </w:tc>
        <w:tc>
          <w:tcPr>
            <w:tcW w:w="2835" w:type="dxa"/>
          </w:tcPr>
          <w:p w:rsidR="00882584" w:rsidRDefault="00AD4C2B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run an annual residential where all year 5/6 pupils can attend at least once whilst in this class. </w:t>
            </w: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87423" w:rsidRPr="006F6CA9" w:rsidRDefault="00987423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To embed the yoga and mindfulness techniques within the school and develop this further. </w:t>
            </w:r>
          </w:p>
        </w:tc>
      </w:tr>
    </w:tbl>
    <w:p w:rsidR="00882584" w:rsidRDefault="00882584"/>
    <w:p w:rsidR="00882584" w:rsidRDefault="00882584"/>
    <w:p w:rsidR="00882584" w:rsidRDefault="00882584"/>
    <w:p w:rsidR="00882584" w:rsidRDefault="00882584"/>
    <w:p w:rsidR="00882584" w:rsidRDefault="00882584"/>
    <w:p w:rsidR="003F6861" w:rsidRDefault="003F6861"/>
    <w:tbl>
      <w:tblPr>
        <w:tblW w:w="1389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119"/>
        <w:gridCol w:w="1134"/>
        <w:gridCol w:w="3260"/>
        <w:gridCol w:w="2835"/>
      </w:tblGrid>
      <w:tr w:rsidR="00882584" w:rsidRPr="006F6CA9" w:rsidTr="007B789A">
        <w:trPr>
          <w:trHeight w:val="315"/>
        </w:trPr>
        <w:tc>
          <w:tcPr>
            <w:tcW w:w="11057" w:type="dxa"/>
            <w:gridSpan w:val="4"/>
            <w:vMerge w:val="restart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>
              <w:rPr>
                <w:b/>
                <w:color w:val="F26522"/>
                <w:sz w:val="24"/>
              </w:rPr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2835" w:type="dxa"/>
            <w:tcBorders>
              <w:top w:val="single" w:sz="12" w:space="0" w:color="231F20"/>
            </w:tcBorders>
          </w:tcPr>
          <w:p w:rsidR="00882584" w:rsidRPr="006F6CA9" w:rsidRDefault="00882584" w:rsidP="007B789A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82584" w:rsidRPr="006F6CA9" w:rsidTr="007B789A">
        <w:trPr>
          <w:trHeight w:val="320"/>
        </w:trPr>
        <w:tc>
          <w:tcPr>
            <w:tcW w:w="11057" w:type="dxa"/>
            <w:gridSpan w:val="4"/>
            <w:vMerge/>
            <w:tcBorders>
              <w:top w:val="nil"/>
            </w:tcBorders>
          </w:tcPr>
          <w:p w:rsidR="00882584" w:rsidRPr="006F6CA9" w:rsidRDefault="00882584" w:rsidP="007B789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82584" w:rsidRPr="006F6CA9" w:rsidTr="00FD7E41">
        <w:trPr>
          <w:trHeight w:val="405"/>
        </w:trPr>
        <w:tc>
          <w:tcPr>
            <w:tcW w:w="3544" w:type="dxa"/>
          </w:tcPr>
          <w:p w:rsidR="00882584" w:rsidRPr="006F6CA9" w:rsidRDefault="00882584" w:rsidP="007B789A">
            <w:pPr>
              <w:pStyle w:val="TableParagraph"/>
              <w:spacing w:before="21"/>
              <w:ind w:right="1515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4253" w:type="dxa"/>
            <w:gridSpan w:val="2"/>
          </w:tcPr>
          <w:p w:rsidR="00882584" w:rsidRPr="006F6CA9" w:rsidRDefault="00882584" w:rsidP="007B789A">
            <w:pPr>
              <w:pStyle w:val="TableParagraph"/>
              <w:spacing w:before="21"/>
              <w:ind w:right="1760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260" w:type="dxa"/>
          </w:tcPr>
          <w:p w:rsidR="00882584" w:rsidRPr="006F6CA9" w:rsidRDefault="00882584" w:rsidP="007B789A">
            <w:pPr>
              <w:pStyle w:val="TableParagraph"/>
              <w:spacing w:before="21"/>
              <w:ind w:right="1268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2835" w:type="dxa"/>
          </w:tcPr>
          <w:p w:rsidR="00882584" w:rsidRPr="006F6CA9" w:rsidRDefault="00E0196C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7%</w:t>
            </w:r>
          </w:p>
        </w:tc>
      </w:tr>
      <w:tr w:rsidR="00882584" w:rsidRPr="006F6CA9" w:rsidTr="00FD7E41">
        <w:trPr>
          <w:trHeight w:val="664"/>
        </w:trPr>
        <w:tc>
          <w:tcPr>
            <w:tcW w:w="3544" w:type="dxa"/>
          </w:tcPr>
          <w:p w:rsidR="00882584" w:rsidRPr="006F6CA9" w:rsidRDefault="00882584" w:rsidP="007B789A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t>School focus with clarity on intended impact on pupils:</w:t>
            </w:r>
          </w:p>
        </w:tc>
        <w:tc>
          <w:tcPr>
            <w:tcW w:w="3119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t>Action</w:t>
            </w:r>
            <w:r w:rsidRPr="00882584">
              <w:t>s</w:t>
            </w:r>
            <w:r>
              <w:t xml:space="preserve"> to achieve:</w:t>
            </w:r>
          </w:p>
        </w:tc>
        <w:tc>
          <w:tcPr>
            <w:tcW w:w="1134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260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Evidence of impact:</w:t>
            </w:r>
          </w:p>
        </w:tc>
        <w:tc>
          <w:tcPr>
            <w:tcW w:w="2835" w:type="dxa"/>
          </w:tcPr>
          <w:p w:rsidR="00882584" w:rsidRPr="006F6CA9" w:rsidRDefault="00882584" w:rsidP="007B789A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82584" w:rsidRPr="006F6CA9" w:rsidTr="00FD7E41">
        <w:trPr>
          <w:trHeight w:val="907"/>
        </w:trPr>
        <w:tc>
          <w:tcPr>
            <w:tcW w:w="3544" w:type="dxa"/>
          </w:tcPr>
          <w:p w:rsidR="00882584" w:rsidRPr="006F6CA9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allow more children to access a range of competitive sport.</w:t>
            </w:r>
          </w:p>
        </w:tc>
        <w:tc>
          <w:tcPr>
            <w:tcW w:w="3119" w:type="dxa"/>
          </w:tcPr>
          <w:p w:rsidR="00882584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Purchase cluster support for organisation of competitive games.</w:t>
            </w:r>
          </w:p>
          <w:p w:rsidR="004E598E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598E" w:rsidRPr="006F6CA9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Organise transport to allow children to be able to access the competitions. </w:t>
            </w:r>
          </w:p>
        </w:tc>
        <w:tc>
          <w:tcPr>
            <w:tcW w:w="1134" w:type="dxa"/>
          </w:tcPr>
          <w:p w:rsidR="00882584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£640</w:t>
            </w:r>
          </w:p>
          <w:p w:rsidR="004E598E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598E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598E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598E" w:rsidRPr="006F6CA9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£520</w:t>
            </w:r>
          </w:p>
        </w:tc>
        <w:tc>
          <w:tcPr>
            <w:tcW w:w="3260" w:type="dxa"/>
          </w:tcPr>
          <w:p w:rsidR="00882584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are able to access a greater range of activities and have commented on how much they enjoy this.</w:t>
            </w:r>
          </w:p>
          <w:p w:rsidR="004E598E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598E" w:rsidRPr="006F6CA9" w:rsidRDefault="004E598E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participating in more activity than they otherwise would and allows children to participate that</w:t>
            </w:r>
            <w:r w:rsidR="00FD7E41">
              <w:rPr>
                <w:rFonts w:asciiTheme="minorHAnsi" w:hAnsiTheme="minorHAnsi"/>
                <w:sz w:val="24"/>
              </w:rPr>
              <w:t xml:space="preserve"> would not normally engage. </w:t>
            </w:r>
          </w:p>
        </w:tc>
        <w:tc>
          <w:tcPr>
            <w:tcW w:w="2835" w:type="dxa"/>
          </w:tcPr>
          <w:p w:rsidR="00882584" w:rsidRPr="006F6CA9" w:rsidRDefault="00FD7E41" w:rsidP="007B789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continue working with the cluster in future years to allowing for this provision. </w:t>
            </w:r>
          </w:p>
        </w:tc>
      </w:tr>
    </w:tbl>
    <w:p w:rsidR="00882584" w:rsidRDefault="00882584" w:rsidP="00882584"/>
    <w:p w:rsidR="00882584" w:rsidRDefault="00E0196C">
      <w:r>
        <w:t xml:space="preserve">£3149 of the sports premium money will be carried over into next year’s curriculum where it will be </w:t>
      </w:r>
      <w:r w:rsidR="00A72C85">
        <w:t xml:space="preserve">spent on appropriate resources to improve the quality of sport and PE within school. </w:t>
      </w:r>
      <w:bookmarkStart w:id="0" w:name="_GoBack"/>
      <w:bookmarkEnd w:id="0"/>
    </w:p>
    <w:sectPr w:rsidR="00882584" w:rsidSect="00DF478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3C" w:rsidRDefault="0001633C" w:rsidP="00DF4782">
      <w:pPr>
        <w:spacing w:after="0" w:line="240" w:lineRule="auto"/>
      </w:pPr>
      <w:r>
        <w:separator/>
      </w:r>
    </w:p>
  </w:endnote>
  <w:endnote w:type="continuationSeparator" w:id="0">
    <w:p w:rsidR="0001633C" w:rsidRDefault="0001633C" w:rsidP="00DF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3C" w:rsidRDefault="0001633C" w:rsidP="00DF4782">
      <w:pPr>
        <w:spacing w:after="0" w:line="240" w:lineRule="auto"/>
      </w:pPr>
      <w:r>
        <w:separator/>
      </w:r>
    </w:p>
  </w:footnote>
  <w:footnote w:type="continuationSeparator" w:id="0">
    <w:p w:rsidR="0001633C" w:rsidRDefault="0001633C" w:rsidP="00DF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82" w:rsidRDefault="00DF4782">
    <w:pPr>
      <w:pStyle w:val="Header"/>
    </w:pPr>
    <w:r>
      <w:rPr>
        <w:noProof/>
        <w:lang w:eastAsia="en-GB"/>
      </w:rPr>
      <w:drawing>
        <wp:inline distT="0" distB="0" distL="0" distR="0">
          <wp:extent cx="20859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51377"/>
    <w:multiLevelType w:val="hybridMultilevel"/>
    <w:tmpl w:val="2562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C1A56"/>
    <w:multiLevelType w:val="hybridMultilevel"/>
    <w:tmpl w:val="D39C7E60"/>
    <w:lvl w:ilvl="0" w:tplc="91224D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2"/>
    <w:rsid w:val="0001633C"/>
    <w:rsid w:val="00030786"/>
    <w:rsid w:val="00114B93"/>
    <w:rsid w:val="001932CC"/>
    <w:rsid w:val="002F1FB1"/>
    <w:rsid w:val="003F6861"/>
    <w:rsid w:val="004660B6"/>
    <w:rsid w:val="004E598E"/>
    <w:rsid w:val="0072799F"/>
    <w:rsid w:val="00762AE9"/>
    <w:rsid w:val="00882584"/>
    <w:rsid w:val="009604B6"/>
    <w:rsid w:val="00987423"/>
    <w:rsid w:val="00A239A5"/>
    <w:rsid w:val="00A72C85"/>
    <w:rsid w:val="00AD4C2B"/>
    <w:rsid w:val="00BB7BDD"/>
    <w:rsid w:val="00C80A1C"/>
    <w:rsid w:val="00CA0DC3"/>
    <w:rsid w:val="00D15496"/>
    <w:rsid w:val="00DB3036"/>
    <w:rsid w:val="00DC094A"/>
    <w:rsid w:val="00DF4782"/>
    <w:rsid w:val="00DF6B57"/>
    <w:rsid w:val="00E0196C"/>
    <w:rsid w:val="00FA50D3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08E633-9D2D-495A-890D-8AAF6E2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82"/>
  </w:style>
  <w:style w:type="paragraph" w:styleId="Footer">
    <w:name w:val="footer"/>
    <w:basedOn w:val="Normal"/>
    <w:link w:val="FooterChar"/>
    <w:uiPriority w:val="99"/>
    <w:unhideWhenUsed/>
    <w:rsid w:val="00DF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82"/>
  </w:style>
  <w:style w:type="table" w:styleId="TableGrid">
    <w:name w:val="Table Grid"/>
    <w:basedOn w:val="TableNormal"/>
    <w:uiPriority w:val="39"/>
    <w:rsid w:val="00DF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4782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96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Primary School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Heath</dc:creator>
  <cp:keywords/>
  <dc:description/>
  <cp:lastModifiedBy>Lisa Heath</cp:lastModifiedBy>
  <cp:revision>11</cp:revision>
  <dcterms:created xsi:type="dcterms:W3CDTF">2020-03-03T14:45:00Z</dcterms:created>
  <dcterms:modified xsi:type="dcterms:W3CDTF">2020-03-12T12:39:00Z</dcterms:modified>
</cp:coreProperties>
</file>